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B58A6" w14:textId="3EED7E2C" w:rsidR="006D280C" w:rsidRDefault="006D280C" w:rsidP="00F40CD0">
      <w:pPr>
        <w:spacing w:before="78"/>
        <w:ind w:left="180"/>
        <w:jc w:val="center"/>
        <w:rPr>
          <w:b/>
          <w:sz w:val="32"/>
        </w:rPr>
      </w:pPr>
      <w:bookmarkStart w:id="0" w:name="_GoBack"/>
      <w:bookmarkEnd w:id="0"/>
      <w:r>
        <w:rPr>
          <w:noProof/>
        </w:rPr>
        <w:drawing>
          <wp:inline distT="0" distB="0" distL="0" distR="0" wp14:anchorId="380E31D4" wp14:editId="139A75AC">
            <wp:extent cx="4913630" cy="908685"/>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3630" cy="908685"/>
                    </a:xfrm>
                    <a:prstGeom prst="rect">
                      <a:avLst/>
                    </a:prstGeom>
                    <a:noFill/>
                  </pic:spPr>
                </pic:pic>
              </a:graphicData>
            </a:graphic>
          </wp:inline>
        </w:drawing>
      </w:r>
    </w:p>
    <w:p w14:paraId="782CD124" w14:textId="77777777" w:rsidR="006D280C" w:rsidRDefault="006D280C">
      <w:pPr>
        <w:spacing w:before="78"/>
        <w:ind w:left="120"/>
        <w:rPr>
          <w:b/>
          <w:sz w:val="32"/>
        </w:rPr>
      </w:pPr>
    </w:p>
    <w:p w14:paraId="6F175505" w14:textId="30B229EC" w:rsidR="000E537E" w:rsidRPr="009777C7" w:rsidRDefault="002179E1" w:rsidP="000E537E">
      <w:pPr>
        <w:rPr>
          <w:rFonts w:eastAsia="Times New Roman"/>
          <w:b/>
          <w:sz w:val="32"/>
          <w:szCs w:val="32"/>
        </w:rPr>
      </w:pPr>
      <w:r>
        <w:rPr>
          <w:rFonts w:eastAsia="Times New Roman"/>
          <w:b/>
          <w:sz w:val="32"/>
          <w:szCs w:val="32"/>
        </w:rPr>
        <w:t>Student Progression</w:t>
      </w:r>
      <w:r w:rsidR="00432D7E">
        <w:rPr>
          <w:rFonts w:ascii="Verdana" w:eastAsia="Times New Roman" w:hAnsi="Verdana"/>
          <w:b/>
          <w:sz w:val="32"/>
          <w:szCs w:val="28"/>
        </w:rPr>
        <w:t xml:space="preserve"> </w:t>
      </w:r>
      <w:r w:rsidR="000E537E" w:rsidRPr="009777C7">
        <w:rPr>
          <w:rFonts w:eastAsia="Times New Roman"/>
          <w:b/>
          <w:sz w:val="32"/>
          <w:szCs w:val="32"/>
        </w:rPr>
        <w:t>Policy</w:t>
      </w:r>
    </w:p>
    <w:p w14:paraId="37291D96" w14:textId="6A866980" w:rsidR="00FE685F" w:rsidRPr="00BD62A5" w:rsidRDefault="00FE685F" w:rsidP="00FE685F">
      <w:pPr>
        <w:widowControl/>
        <w:autoSpaceDE/>
        <w:autoSpaceDN/>
        <w:rPr>
          <w:rFonts w:eastAsia="Times New Roman"/>
          <w:b/>
          <w:color w:val="000000"/>
          <w:sz w:val="28"/>
          <w:szCs w:val="28"/>
        </w:rPr>
      </w:pPr>
      <w:r w:rsidRPr="00BD62A5">
        <w:rPr>
          <w:rFonts w:eastAsia="Times New Roman"/>
          <w:b/>
          <w:color w:val="000000"/>
          <w:sz w:val="28"/>
          <w:szCs w:val="28"/>
        </w:rPr>
        <w:t>AS-</w:t>
      </w:r>
      <w:r w:rsidR="002179E1">
        <w:rPr>
          <w:rFonts w:eastAsia="Times New Roman"/>
          <w:b/>
          <w:color w:val="000000"/>
          <w:sz w:val="28"/>
          <w:szCs w:val="28"/>
        </w:rPr>
        <w:t>04-A</w:t>
      </w:r>
    </w:p>
    <w:p w14:paraId="21128D92" w14:textId="77777777" w:rsidR="00CA2B94" w:rsidRDefault="00CA2B94" w:rsidP="00124B87">
      <w:pPr>
        <w:pStyle w:val="Heading2"/>
      </w:pPr>
    </w:p>
    <w:p w14:paraId="5FCDCE6A" w14:textId="77777777" w:rsidR="00CA2B94" w:rsidRDefault="00BD4AE6">
      <w:pPr>
        <w:pStyle w:val="BodyText"/>
        <w:spacing w:before="2"/>
        <w:rPr>
          <w:b/>
        </w:rPr>
      </w:pPr>
      <w:r>
        <w:rPr>
          <w:noProof/>
        </w:rPr>
        <mc:AlternateContent>
          <mc:Choice Requires="wps">
            <w:drawing>
              <wp:inline distT="0" distB="0" distL="0" distR="0" wp14:anchorId="25925D36" wp14:editId="037FFCEF">
                <wp:extent cx="7169285" cy="2404872"/>
                <wp:effectExtent l="0" t="0" r="0" b="0"/>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285" cy="2404872"/>
                        </a:xfrm>
                        <a:prstGeom prst="rect">
                          <a:avLst/>
                        </a:prstGeom>
                        <a:solidFill>
                          <a:srgbClr val="E7E5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06F72" w14:textId="0C332A02" w:rsidR="00CA2B94" w:rsidRPr="00124B87" w:rsidRDefault="00487F37">
                            <w:pPr>
                              <w:spacing w:before="97"/>
                              <w:ind w:left="160"/>
                              <w:rPr>
                                <w:b/>
                                <w:sz w:val="28"/>
                                <w:szCs w:val="24"/>
                              </w:rPr>
                            </w:pPr>
                            <w:r w:rsidRPr="00124B87">
                              <w:rPr>
                                <w:b/>
                                <w:sz w:val="28"/>
                                <w:szCs w:val="24"/>
                              </w:rPr>
                              <w:t>About This Policy</w:t>
                            </w:r>
                            <w:r w:rsidR="006D280C" w:rsidRPr="00124B87">
                              <w:rPr>
                                <w:b/>
                                <w:sz w:val="28"/>
                                <w:szCs w:val="24"/>
                              </w:rPr>
                              <w:t>:</w:t>
                            </w:r>
                          </w:p>
                          <w:p w14:paraId="53973F56" w14:textId="77777777" w:rsidR="00124B87" w:rsidRDefault="00124B87" w:rsidP="006D280C">
                            <w:pPr>
                              <w:ind w:left="160"/>
                              <w:rPr>
                                <w:b/>
                                <w:sz w:val="24"/>
                                <w:szCs w:val="24"/>
                              </w:rPr>
                            </w:pPr>
                          </w:p>
                          <w:p w14:paraId="35302E79" w14:textId="11004D04" w:rsidR="00CA2B94" w:rsidRPr="006D280C" w:rsidRDefault="00487F37" w:rsidP="006D280C">
                            <w:pPr>
                              <w:ind w:left="160"/>
                              <w:rPr>
                                <w:b/>
                                <w:sz w:val="24"/>
                                <w:szCs w:val="24"/>
                              </w:rPr>
                            </w:pPr>
                            <w:r w:rsidRPr="006D280C">
                              <w:rPr>
                                <w:b/>
                                <w:sz w:val="24"/>
                                <w:szCs w:val="24"/>
                              </w:rPr>
                              <w:t>Effective Date:</w:t>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p>
                          <w:p w14:paraId="1473AB6E" w14:textId="4AFCB73F" w:rsidR="00CA2B94" w:rsidRPr="006D280C" w:rsidRDefault="002179E1" w:rsidP="006D280C">
                            <w:pPr>
                              <w:pStyle w:val="BodyText"/>
                              <w:ind w:left="160"/>
                              <w:rPr>
                                <w:i/>
                                <w:sz w:val="24"/>
                                <w:szCs w:val="24"/>
                              </w:rPr>
                            </w:pPr>
                            <w:r>
                              <w:rPr>
                                <w:i/>
                                <w:sz w:val="24"/>
                                <w:szCs w:val="24"/>
                              </w:rPr>
                              <w:t>08-01-2019</w:t>
                            </w:r>
                          </w:p>
                          <w:p w14:paraId="54C3A033" w14:textId="77777777" w:rsidR="006D280C" w:rsidRPr="006D280C" w:rsidRDefault="006D280C" w:rsidP="006D280C">
                            <w:pPr>
                              <w:ind w:left="160"/>
                              <w:rPr>
                                <w:b/>
                                <w:sz w:val="24"/>
                                <w:szCs w:val="24"/>
                              </w:rPr>
                            </w:pPr>
                          </w:p>
                          <w:p w14:paraId="34845BC6" w14:textId="668699B5" w:rsidR="00CA2B94" w:rsidRPr="006D280C" w:rsidRDefault="006F536E" w:rsidP="006D280C">
                            <w:pPr>
                              <w:ind w:left="160"/>
                              <w:rPr>
                                <w:b/>
                                <w:sz w:val="24"/>
                                <w:szCs w:val="24"/>
                              </w:rPr>
                            </w:pPr>
                            <w:r w:rsidRPr="006D280C">
                              <w:rPr>
                                <w:b/>
                                <w:sz w:val="24"/>
                                <w:szCs w:val="24"/>
                              </w:rPr>
                              <w:t>Date of Last Review/Update</w:t>
                            </w:r>
                            <w:r w:rsidR="00487F37" w:rsidRPr="006D280C">
                              <w:rPr>
                                <w:b/>
                                <w:sz w:val="24"/>
                                <w:szCs w:val="24"/>
                              </w:rPr>
                              <w:t>:</w:t>
                            </w:r>
                          </w:p>
                          <w:p w14:paraId="4DD60E5F" w14:textId="77777777" w:rsidR="002179E1" w:rsidRPr="006D280C" w:rsidRDefault="002179E1" w:rsidP="002179E1">
                            <w:pPr>
                              <w:pStyle w:val="BodyText"/>
                              <w:ind w:left="160"/>
                              <w:rPr>
                                <w:i/>
                                <w:sz w:val="24"/>
                                <w:szCs w:val="24"/>
                              </w:rPr>
                            </w:pPr>
                            <w:r>
                              <w:rPr>
                                <w:i/>
                                <w:sz w:val="24"/>
                                <w:szCs w:val="24"/>
                              </w:rPr>
                              <w:t>08-01-2019</w:t>
                            </w:r>
                          </w:p>
                          <w:p w14:paraId="59B0EE86" w14:textId="77777777" w:rsidR="006D280C" w:rsidRPr="006D280C" w:rsidRDefault="006D280C" w:rsidP="006D280C">
                            <w:pPr>
                              <w:ind w:left="160"/>
                              <w:rPr>
                                <w:b/>
                                <w:sz w:val="24"/>
                                <w:szCs w:val="24"/>
                              </w:rPr>
                            </w:pPr>
                          </w:p>
                          <w:p w14:paraId="5DBD27D1" w14:textId="6B50B721" w:rsidR="00CA2B94" w:rsidRPr="006D280C" w:rsidRDefault="00487F37" w:rsidP="006D280C">
                            <w:pPr>
                              <w:ind w:left="160"/>
                              <w:rPr>
                                <w:b/>
                                <w:sz w:val="24"/>
                                <w:szCs w:val="24"/>
                              </w:rPr>
                            </w:pPr>
                            <w:r w:rsidRPr="006D280C">
                              <w:rPr>
                                <w:b/>
                                <w:sz w:val="24"/>
                                <w:szCs w:val="24"/>
                              </w:rPr>
                              <w:t xml:space="preserve">Responsible </w:t>
                            </w:r>
                            <w:r w:rsidR="006D280C" w:rsidRPr="006D280C">
                              <w:rPr>
                                <w:b/>
                                <w:sz w:val="24"/>
                                <w:szCs w:val="24"/>
                              </w:rPr>
                              <w:t>College</w:t>
                            </w:r>
                            <w:r w:rsidRPr="006D280C">
                              <w:rPr>
                                <w:b/>
                                <w:sz w:val="24"/>
                                <w:szCs w:val="24"/>
                              </w:rPr>
                              <w:t xml:space="preserve"> Administrator</w:t>
                            </w:r>
                            <w:r w:rsidR="006D280C" w:rsidRPr="006D280C">
                              <w:rPr>
                                <w:b/>
                                <w:sz w:val="24"/>
                                <w:szCs w:val="24"/>
                              </w:rPr>
                              <w:t>/Committee</w:t>
                            </w:r>
                            <w:r w:rsidRPr="006D280C">
                              <w:rPr>
                                <w:b/>
                                <w:sz w:val="24"/>
                                <w:szCs w:val="24"/>
                              </w:rPr>
                              <w:t>:</w:t>
                            </w:r>
                          </w:p>
                          <w:p w14:paraId="6F1BA274" w14:textId="31E58290" w:rsidR="0080748F" w:rsidRPr="006F47B1" w:rsidRDefault="006F47B1" w:rsidP="006D280C">
                            <w:pPr>
                              <w:ind w:left="160"/>
                              <w:rPr>
                                <w:rFonts w:eastAsia="Times New Roman"/>
                                <w:bCs/>
                                <w:i/>
                                <w:sz w:val="24"/>
                                <w:szCs w:val="26"/>
                              </w:rPr>
                            </w:pPr>
                            <w:r w:rsidRPr="006F47B1">
                              <w:rPr>
                                <w:rFonts w:eastAsia="Times New Roman"/>
                                <w:bCs/>
                                <w:i/>
                                <w:sz w:val="24"/>
                                <w:szCs w:val="26"/>
                              </w:rPr>
                              <w:t>Dwyer College of Health Sciences Faculty (DCHSF) President</w:t>
                            </w:r>
                          </w:p>
                          <w:p w14:paraId="4CCE9857" w14:textId="77777777" w:rsidR="006F47B1" w:rsidRDefault="006F47B1" w:rsidP="006D280C">
                            <w:pPr>
                              <w:ind w:left="160"/>
                              <w:rPr>
                                <w:rStyle w:val="Strong"/>
                                <w:b w:val="0"/>
                                <w:i/>
                                <w:iCs/>
                                <w:sz w:val="24"/>
                                <w:szCs w:val="24"/>
                              </w:rPr>
                            </w:pPr>
                          </w:p>
                          <w:p w14:paraId="72C75369" w14:textId="3F2BEC60" w:rsidR="0080748F" w:rsidRPr="006D280C" w:rsidRDefault="0080748F" w:rsidP="0080748F">
                            <w:pPr>
                              <w:ind w:left="160"/>
                              <w:rPr>
                                <w:b/>
                                <w:sz w:val="24"/>
                                <w:szCs w:val="24"/>
                              </w:rPr>
                            </w:pPr>
                            <w:r>
                              <w:rPr>
                                <w:b/>
                                <w:sz w:val="24"/>
                                <w:szCs w:val="24"/>
                              </w:rPr>
                              <w:t>Scope</w:t>
                            </w:r>
                            <w:r w:rsidR="009F2A0C">
                              <w:rPr>
                                <w:b/>
                                <w:sz w:val="24"/>
                                <w:szCs w:val="24"/>
                              </w:rPr>
                              <w:t>:</w:t>
                            </w:r>
                          </w:p>
                          <w:p w14:paraId="4F54E2B1" w14:textId="77777777" w:rsidR="0080748F" w:rsidRPr="0080748F" w:rsidRDefault="0080748F" w:rsidP="0080748F">
                            <w:pPr>
                              <w:pStyle w:val="Heading2"/>
                              <w:ind w:left="180"/>
                              <w:rPr>
                                <w:rFonts w:eastAsia="Times New Roman"/>
                                <w:b w:val="0"/>
                                <w:i/>
                                <w:sz w:val="24"/>
                              </w:rPr>
                            </w:pPr>
                            <w:r w:rsidRPr="0080748F">
                              <w:rPr>
                                <w:rFonts w:eastAsia="Times New Roman"/>
                                <w:b w:val="0"/>
                                <w:i/>
                                <w:sz w:val="24"/>
                              </w:rPr>
                              <w:t>This policy is for the IUSB Vera Z. Dwyer College of Health Sciences.</w:t>
                            </w:r>
                          </w:p>
                          <w:p w14:paraId="3FBA8D30" w14:textId="77777777" w:rsidR="0080748F" w:rsidRDefault="0080748F" w:rsidP="006D280C">
                            <w:pPr>
                              <w:ind w:left="160"/>
                              <w:rPr>
                                <w:rStyle w:val="Strong"/>
                                <w:b w:val="0"/>
                                <w:i/>
                                <w:iCs/>
                                <w:sz w:val="24"/>
                                <w:szCs w:val="24"/>
                              </w:rPr>
                            </w:pPr>
                          </w:p>
                          <w:p w14:paraId="787A739B" w14:textId="77777777" w:rsidR="0080748F" w:rsidRPr="006D280C" w:rsidRDefault="0080748F" w:rsidP="006D280C">
                            <w:pPr>
                              <w:ind w:left="160"/>
                              <w:rPr>
                                <w:rStyle w:val="Strong"/>
                                <w:b w:val="0"/>
                                <w:i/>
                                <w:iCs/>
                                <w:sz w:val="24"/>
                                <w:szCs w:val="24"/>
                              </w:rPr>
                            </w:pPr>
                          </w:p>
                        </w:txbxContent>
                      </wps:txbx>
                      <wps:bodyPr rot="0" vert="horz" wrap="square" lIns="0" tIns="0" rIns="0" bIns="0" anchor="t" anchorCtr="0" upright="1">
                        <a:noAutofit/>
                      </wps:bodyPr>
                    </wps:wsp>
                  </a:graphicData>
                </a:graphic>
              </wp:inline>
            </w:drawing>
          </mc:Choice>
          <mc:Fallback>
            <w:pict>
              <v:shapetype w14:anchorId="25925D36" id="_x0000_t202" coordsize="21600,21600" o:spt="202" path="m,l,21600r21600,l21600,xe">
                <v:stroke joinstyle="miter"/>
                <v:path gradientshapeok="t" o:connecttype="rect"/>
              </v:shapetype>
              <v:shape id="Text Box 5" o:spid="_x0000_s1026" type="#_x0000_t202" style="width:564.5pt;height:18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" fillcolor="#e7e5e4" stroked="f">
                <v:textbox inset="0,0,0,0">
                  <w:txbxContent>
                    <w:p w14:paraId="38306F72" w14:textId="0C332A02" w:rsidR="00CA2B94" w:rsidRPr="00124B87" w:rsidRDefault="00487F37">
                      <w:pPr>
                        <w:spacing w:before="97"/>
                        <w:ind w:left="160"/>
                        <w:rPr>
                          <w:b/>
                          <w:sz w:val="28"/>
                          <w:szCs w:val="24"/>
                        </w:rPr>
                      </w:pPr>
                      <w:r w:rsidRPr="00124B87">
                        <w:rPr>
                          <w:b/>
                          <w:sz w:val="28"/>
                          <w:szCs w:val="24"/>
                        </w:rPr>
                        <w:t>About This Policy</w:t>
                      </w:r>
                      <w:r w:rsidR="006D280C" w:rsidRPr="00124B87">
                        <w:rPr>
                          <w:b/>
                          <w:sz w:val="28"/>
                          <w:szCs w:val="24"/>
                        </w:rPr>
                        <w:t>:</w:t>
                      </w:r>
                    </w:p>
                    <w:p w14:paraId="53973F56" w14:textId="77777777" w:rsidR="00124B87" w:rsidRDefault="00124B87" w:rsidP="006D280C">
                      <w:pPr>
                        <w:ind w:left="160"/>
                        <w:rPr>
                          <w:b/>
                          <w:sz w:val="24"/>
                          <w:szCs w:val="24"/>
                        </w:rPr>
                      </w:pPr>
                    </w:p>
                    <w:p w14:paraId="35302E79" w14:textId="11004D04" w:rsidR="00CA2B94" w:rsidRPr="006D280C" w:rsidRDefault="00487F37" w:rsidP="006D280C">
                      <w:pPr>
                        <w:ind w:left="160"/>
                        <w:rPr>
                          <w:b/>
                          <w:sz w:val="24"/>
                          <w:szCs w:val="24"/>
                        </w:rPr>
                      </w:pPr>
                      <w:r w:rsidRPr="006D280C">
                        <w:rPr>
                          <w:b/>
                          <w:sz w:val="24"/>
                          <w:szCs w:val="24"/>
                        </w:rPr>
                        <w:t>Effective Date:</w:t>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p>
                    <w:p w14:paraId="1473AB6E" w14:textId="4AFCB73F" w:rsidR="00CA2B94" w:rsidRPr="006D280C" w:rsidRDefault="002179E1" w:rsidP="006D280C">
                      <w:pPr>
                        <w:pStyle w:val="BodyText"/>
                        <w:ind w:left="160"/>
                        <w:rPr>
                          <w:i/>
                          <w:sz w:val="24"/>
                          <w:szCs w:val="24"/>
                        </w:rPr>
                      </w:pPr>
                      <w:r>
                        <w:rPr>
                          <w:i/>
                          <w:sz w:val="24"/>
                          <w:szCs w:val="24"/>
                        </w:rPr>
                        <w:t>08-01-2019</w:t>
                      </w:r>
                    </w:p>
                    <w:p w14:paraId="54C3A033" w14:textId="77777777" w:rsidR="006D280C" w:rsidRPr="006D280C" w:rsidRDefault="006D280C" w:rsidP="006D280C">
                      <w:pPr>
                        <w:ind w:left="160"/>
                        <w:rPr>
                          <w:b/>
                          <w:sz w:val="24"/>
                          <w:szCs w:val="24"/>
                        </w:rPr>
                      </w:pPr>
                    </w:p>
                    <w:p w14:paraId="34845BC6" w14:textId="668699B5" w:rsidR="00CA2B94" w:rsidRPr="006D280C" w:rsidRDefault="006F536E" w:rsidP="006D280C">
                      <w:pPr>
                        <w:ind w:left="160"/>
                        <w:rPr>
                          <w:b/>
                          <w:sz w:val="24"/>
                          <w:szCs w:val="24"/>
                        </w:rPr>
                      </w:pPr>
                      <w:r w:rsidRPr="006D280C">
                        <w:rPr>
                          <w:b/>
                          <w:sz w:val="24"/>
                          <w:szCs w:val="24"/>
                        </w:rPr>
                        <w:t>Date of Last Review/Update</w:t>
                      </w:r>
                      <w:r w:rsidR="00487F37" w:rsidRPr="006D280C">
                        <w:rPr>
                          <w:b/>
                          <w:sz w:val="24"/>
                          <w:szCs w:val="24"/>
                        </w:rPr>
                        <w:t>:</w:t>
                      </w:r>
                    </w:p>
                    <w:p w14:paraId="4DD60E5F" w14:textId="77777777" w:rsidR="002179E1" w:rsidRPr="006D280C" w:rsidRDefault="002179E1" w:rsidP="002179E1">
                      <w:pPr>
                        <w:pStyle w:val="BodyText"/>
                        <w:ind w:left="160"/>
                        <w:rPr>
                          <w:i/>
                          <w:sz w:val="24"/>
                          <w:szCs w:val="24"/>
                        </w:rPr>
                      </w:pPr>
                      <w:r>
                        <w:rPr>
                          <w:i/>
                          <w:sz w:val="24"/>
                          <w:szCs w:val="24"/>
                        </w:rPr>
                        <w:t>08-01-2019</w:t>
                      </w:r>
                    </w:p>
                    <w:p w14:paraId="59B0EE86" w14:textId="77777777" w:rsidR="006D280C" w:rsidRPr="006D280C" w:rsidRDefault="006D280C" w:rsidP="006D280C">
                      <w:pPr>
                        <w:ind w:left="160"/>
                        <w:rPr>
                          <w:b/>
                          <w:sz w:val="24"/>
                          <w:szCs w:val="24"/>
                        </w:rPr>
                      </w:pPr>
                    </w:p>
                    <w:p w14:paraId="5DBD27D1" w14:textId="6B50B721" w:rsidR="00CA2B94" w:rsidRPr="006D280C" w:rsidRDefault="00487F37" w:rsidP="006D280C">
                      <w:pPr>
                        <w:ind w:left="160"/>
                        <w:rPr>
                          <w:b/>
                          <w:sz w:val="24"/>
                          <w:szCs w:val="24"/>
                        </w:rPr>
                      </w:pPr>
                      <w:r w:rsidRPr="006D280C">
                        <w:rPr>
                          <w:b/>
                          <w:sz w:val="24"/>
                          <w:szCs w:val="24"/>
                        </w:rPr>
                        <w:t xml:space="preserve">Responsible </w:t>
                      </w:r>
                      <w:r w:rsidR="006D280C" w:rsidRPr="006D280C">
                        <w:rPr>
                          <w:b/>
                          <w:sz w:val="24"/>
                          <w:szCs w:val="24"/>
                        </w:rPr>
                        <w:t>College</w:t>
                      </w:r>
                      <w:r w:rsidRPr="006D280C">
                        <w:rPr>
                          <w:b/>
                          <w:sz w:val="24"/>
                          <w:szCs w:val="24"/>
                        </w:rPr>
                        <w:t xml:space="preserve"> Administrator</w:t>
                      </w:r>
                      <w:r w:rsidR="006D280C" w:rsidRPr="006D280C">
                        <w:rPr>
                          <w:b/>
                          <w:sz w:val="24"/>
                          <w:szCs w:val="24"/>
                        </w:rPr>
                        <w:t>/Committee</w:t>
                      </w:r>
                      <w:r w:rsidRPr="006D280C">
                        <w:rPr>
                          <w:b/>
                          <w:sz w:val="24"/>
                          <w:szCs w:val="24"/>
                        </w:rPr>
                        <w:t>:</w:t>
                      </w:r>
                    </w:p>
                    <w:p w14:paraId="6F1BA274" w14:textId="31E58290" w:rsidR="0080748F" w:rsidRPr="006F47B1" w:rsidRDefault="006F47B1" w:rsidP="006D280C">
                      <w:pPr>
                        <w:ind w:left="160"/>
                        <w:rPr>
                          <w:rFonts w:eastAsia="Times New Roman"/>
                          <w:bCs/>
                          <w:i/>
                          <w:sz w:val="24"/>
                          <w:szCs w:val="26"/>
                        </w:rPr>
                      </w:pPr>
                      <w:r w:rsidRPr="006F47B1">
                        <w:rPr>
                          <w:rFonts w:eastAsia="Times New Roman"/>
                          <w:bCs/>
                          <w:i/>
                          <w:sz w:val="24"/>
                          <w:szCs w:val="26"/>
                        </w:rPr>
                        <w:t>Dwyer College of Health Sciences Faculty (DCHSF) President</w:t>
                      </w:r>
                    </w:p>
                    <w:p w14:paraId="4CCE9857" w14:textId="77777777" w:rsidR="006F47B1" w:rsidRDefault="006F47B1" w:rsidP="006D280C">
                      <w:pPr>
                        <w:ind w:left="160"/>
                        <w:rPr>
                          <w:rStyle w:val="Strong"/>
                          <w:b w:val="0"/>
                          <w:i/>
                          <w:iCs/>
                          <w:sz w:val="24"/>
                          <w:szCs w:val="24"/>
                        </w:rPr>
                      </w:pPr>
                    </w:p>
                    <w:p w14:paraId="72C75369" w14:textId="3F2BEC60" w:rsidR="0080748F" w:rsidRPr="006D280C" w:rsidRDefault="0080748F" w:rsidP="0080748F">
                      <w:pPr>
                        <w:ind w:left="160"/>
                        <w:rPr>
                          <w:b/>
                          <w:sz w:val="24"/>
                          <w:szCs w:val="24"/>
                        </w:rPr>
                      </w:pPr>
                      <w:r>
                        <w:rPr>
                          <w:b/>
                          <w:sz w:val="24"/>
                          <w:szCs w:val="24"/>
                        </w:rPr>
                        <w:t>Scope</w:t>
                      </w:r>
                      <w:r w:rsidR="009F2A0C">
                        <w:rPr>
                          <w:b/>
                          <w:sz w:val="24"/>
                          <w:szCs w:val="24"/>
                        </w:rPr>
                        <w:t>:</w:t>
                      </w:r>
                    </w:p>
                    <w:p w14:paraId="4F54E2B1" w14:textId="77777777" w:rsidR="0080748F" w:rsidRPr="0080748F" w:rsidRDefault="0080748F" w:rsidP="0080748F">
                      <w:pPr>
                        <w:pStyle w:val="Heading2"/>
                        <w:ind w:left="180"/>
                        <w:rPr>
                          <w:rFonts w:eastAsia="Times New Roman"/>
                          <w:b w:val="0"/>
                          <w:i/>
                          <w:sz w:val="24"/>
                        </w:rPr>
                      </w:pPr>
                      <w:r w:rsidRPr="0080748F">
                        <w:rPr>
                          <w:rFonts w:eastAsia="Times New Roman"/>
                          <w:b w:val="0"/>
                          <w:i/>
                          <w:sz w:val="24"/>
                        </w:rPr>
                        <w:t>This policy is for the IUSB Vera Z. Dwyer College of Health Sciences.</w:t>
                      </w:r>
                    </w:p>
                    <w:p w14:paraId="3FBA8D30" w14:textId="77777777" w:rsidR="0080748F" w:rsidRDefault="0080748F" w:rsidP="006D280C">
                      <w:pPr>
                        <w:ind w:left="160"/>
                        <w:rPr>
                          <w:rStyle w:val="Strong"/>
                          <w:b w:val="0"/>
                          <w:i/>
                          <w:iCs/>
                          <w:sz w:val="24"/>
                          <w:szCs w:val="24"/>
                        </w:rPr>
                      </w:pPr>
                    </w:p>
                    <w:p w14:paraId="787A739B" w14:textId="77777777" w:rsidR="0080748F" w:rsidRPr="006D280C" w:rsidRDefault="0080748F" w:rsidP="006D280C">
                      <w:pPr>
                        <w:ind w:left="160"/>
                        <w:rPr>
                          <w:rStyle w:val="Strong"/>
                          <w:b w:val="0"/>
                          <w:i/>
                          <w:iCs/>
                          <w:sz w:val="24"/>
                          <w:szCs w:val="24"/>
                        </w:rPr>
                      </w:pPr>
                    </w:p>
                  </w:txbxContent>
                </v:textbox>
                <w10:anchorlock/>
              </v:shape>
            </w:pict>
          </mc:Fallback>
        </mc:AlternateContent>
      </w:r>
    </w:p>
    <w:p w14:paraId="6C86F8B6" w14:textId="77777777" w:rsidR="00124B87" w:rsidRDefault="00124B87" w:rsidP="00124B87">
      <w:pPr>
        <w:pStyle w:val="Heading2"/>
        <w:ind w:left="180"/>
        <w:rPr>
          <w:sz w:val="24"/>
          <w:szCs w:val="24"/>
        </w:rPr>
      </w:pPr>
    </w:p>
    <w:p w14:paraId="7BC0AC30" w14:textId="1317FC04" w:rsidR="008B4995" w:rsidRPr="00013CB3" w:rsidRDefault="008B4995" w:rsidP="00013CB3">
      <w:pPr>
        <w:pStyle w:val="Heading2"/>
        <w:ind w:left="180"/>
        <w:rPr>
          <w:sz w:val="24"/>
          <w:szCs w:val="24"/>
        </w:rPr>
      </w:pPr>
      <w:r w:rsidRPr="00013CB3">
        <w:rPr>
          <w:sz w:val="24"/>
          <w:szCs w:val="24"/>
        </w:rPr>
        <w:t>Policy Statement</w:t>
      </w:r>
      <w:r w:rsidR="009F2A0C" w:rsidRPr="00013CB3">
        <w:rPr>
          <w:sz w:val="24"/>
          <w:szCs w:val="24"/>
        </w:rPr>
        <w:t>:</w:t>
      </w:r>
    </w:p>
    <w:p w14:paraId="0C968247" w14:textId="77777777" w:rsidR="00013CB3" w:rsidRPr="00013CB3" w:rsidRDefault="00013CB3" w:rsidP="00013CB3">
      <w:pPr>
        <w:ind w:left="180"/>
        <w:rPr>
          <w:rFonts w:eastAsia="Times New Roman"/>
          <w:sz w:val="24"/>
          <w:szCs w:val="24"/>
        </w:rPr>
      </w:pPr>
      <w:r w:rsidRPr="00013CB3">
        <w:rPr>
          <w:rFonts w:eastAsia="Times New Roman"/>
          <w:sz w:val="24"/>
          <w:szCs w:val="24"/>
        </w:rPr>
        <w:t xml:space="preserve">The purpose of this policy is to identify the strategies and tools used by the IUSB Vera Z. Dwyer College of Health Sciences (IUSB-CHS) to help students succeed. </w:t>
      </w:r>
    </w:p>
    <w:p w14:paraId="4D09ECC7" w14:textId="77777777" w:rsidR="00062E83" w:rsidRPr="00013CB3" w:rsidRDefault="00062E83" w:rsidP="00013CB3">
      <w:pPr>
        <w:ind w:left="180"/>
        <w:rPr>
          <w:b/>
          <w:bCs/>
          <w:sz w:val="24"/>
          <w:szCs w:val="24"/>
        </w:rPr>
      </w:pPr>
    </w:p>
    <w:p w14:paraId="66DFB638" w14:textId="0AD0DEED" w:rsidR="006F47B1" w:rsidRPr="00013CB3" w:rsidRDefault="006F47B1" w:rsidP="00013CB3">
      <w:pPr>
        <w:ind w:left="180"/>
        <w:rPr>
          <w:rFonts w:eastAsia="Times New Roman"/>
          <w:sz w:val="24"/>
          <w:szCs w:val="24"/>
        </w:rPr>
      </w:pPr>
      <w:r w:rsidRPr="00013CB3">
        <w:rPr>
          <w:b/>
          <w:bCs/>
          <w:sz w:val="24"/>
          <w:szCs w:val="24"/>
        </w:rPr>
        <w:t>Policy:</w:t>
      </w:r>
    </w:p>
    <w:p w14:paraId="6C8DEA99" w14:textId="17A20EC8" w:rsidR="00013CB3" w:rsidRPr="00013CB3" w:rsidRDefault="00013CB3" w:rsidP="00013CB3">
      <w:pPr>
        <w:ind w:left="180"/>
        <w:rPr>
          <w:rFonts w:eastAsia="Times New Roman"/>
          <w:sz w:val="24"/>
          <w:szCs w:val="24"/>
        </w:rPr>
      </w:pPr>
      <w:r w:rsidRPr="00013CB3">
        <w:rPr>
          <w:rFonts w:eastAsia="Times New Roman"/>
          <w:b/>
          <w:bCs/>
          <w:sz w:val="24"/>
          <w:szCs w:val="24"/>
        </w:rPr>
        <w:t>Problem Area Assessment Form</w:t>
      </w:r>
      <w:r w:rsidRPr="00013CB3">
        <w:rPr>
          <w:rFonts w:eastAsia="Times New Roman"/>
          <w:sz w:val="24"/>
          <w:szCs w:val="24"/>
        </w:rPr>
        <w:t xml:space="preserve">: </w:t>
      </w:r>
    </w:p>
    <w:p w14:paraId="1B6DD394" w14:textId="77777777" w:rsidR="00013CB3" w:rsidRPr="00013CB3" w:rsidRDefault="00013CB3" w:rsidP="00013CB3">
      <w:pPr>
        <w:ind w:left="180"/>
        <w:rPr>
          <w:rFonts w:eastAsia="Times New Roman"/>
          <w:sz w:val="24"/>
          <w:szCs w:val="24"/>
        </w:rPr>
      </w:pPr>
      <w:r w:rsidRPr="00013CB3">
        <w:rPr>
          <w:rFonts w:eastAsia="Times New Roman"/>
          <w:sz w:val="24"/>
          <w:szCs w:val="24"/>
        </w:rPr>
        <w:t xml:space="preserve">Faculty members use the Problem Area Assessment Form to identify specific problem(s) a student may be facing in their course(s). The faculty member initiating the form will discuss the issue with the student, and together mutually form/discuss a plan for success. The Problem Assessment Form will be directed to the Executive Chair of the APG Board, who will make notation of receipt with the Assistant Dean and Director of the program, and the Assistant Dean for Student Success. The Problem Assessment Form will be filed in the student’s file. </w:t>
      </w:r>
    </w:p>
    <w:p w14:paraId="5F5A847E" w14:textId="77777777" w:rsidR="00013CB3" w:rsidRPr="00013CB3" w:rsidRDefault="00013CB3" w:rsidP="00013CB3">
      <w:pPr>
        <w:ind w:left="180"/>
        <w:rPr>
          <w:rFonts w:eastAsia="Times New Roman"/>
          <w:b/>
          <w:bCs/>
          <w:sz w:val="24"/>
          <w:szCs w:val="24"/>
        </w:rPr>
      </w:pPr>
    </w:p>
    <w:p w14:paraId="2E99CAAA" w14:textId="77777777" w:rsidR="00013CB3" w:rsidRPr="00013CB3" w:rsidRDefault="00013CB3" w:rsidP="00013CB3">
      <w:pPr>
        <w:ind w:left="180"/>
        <w:rPr>
          <w:rFonts w:eastAsia="Times New Roman"/>
          <w:sz w:val="24"/>
          <w:szCs w:val="24"/>
        </w:rPr>
      </w:pPr>
      <w:r w:rsidRPr="00013CB3">
        <w:rPr>
          <w:rFonts w:eastAsia="Times New Roman"/>
          <w:b/>
          <w:bCs/>
          <w:sz w:val="24"/>
          <w:szCs w:val="24"/>
        </w:rPr>
        <w:t>Learning Contract for Student Success</w:t>
      </w:r>
      <w:r w:rsidRPr="00013CB3">
        <w:rPr>
          <w:rFonts w:eastAsia="Times New Roman"/>
          <w:sz w:val="24"/>
          <w:szCs w:val="24"/>
        </w:rPr>
        <w:t xml:space="preserve">: </w:t>
      </w:r>
    </w:p>
    <w:p w14:paraId="5D009D05" w14:textId="77777777" w:rsidR="00013CB3" w:rsidRPr="00013CB3" w:rsidRDefault="00013CB3" w:rsidP="00013CB3">
      <w:pPr>
        <w:ind w:left="180"/>
        <w:rPr>
          <w:rFonts w:eastAsia="Times New Roman"/>
          <w:sz w:val="24"/>
          <w:szCs w:val="24"/>
        </w:rPr>
      </w:pPr>
      <w:r w:rsidRPr="00013CB3">
        <w:rPr>
          <w:rFonts w:eastAsia="Times New Roman"/>
          <w:sz w:val="24"/>
          <w:szCs w:val="24"/>
        </w:rPr>
        <w:t xml:space="preserve">Learning Contracts are designed to help students succeed in a course when the student has been experiencing difficulties. It is not intended to be punitive but it is a serious effort to identify ways to avoid failure in a didactic or clinical course. A learning contract will include a description of the problem, course competencies or objectives not being achieved, goals to achieve in order to be successful in the course, and a mutually developed plan. The plan will include deadlines by which these goals must be achieved. The student is expected to fully participate in developing and implementing the plan for improvement, and to communicate the plan to all relevant faculty members as long as the contract is in effect. If a student is unable to meet the terms of their learning contract, it may become grounds for failure of the course or dismissal from the program. </w:t>
      </w:r>
    </w:p>
    <w:p w14:paraId="7B94AAAB" w14:textId="77777777" w:rsidR="00013CB3" w:rsidRPr="00013CB3" w:rsidRDefault="00013CB3" w:rsidP="00013CB3">
      <w:pPr>
        <w:ind w:left="180"/>
        <w:rPr>
          <w:rFonts w:eastAsia="Times New Roman"/>
          <w:sz w:val="24"/>
          <w:szCs w:val="24"/>
        </w:rPr>
      </w:pPr>
    </w:p>
    <w:p w14:paraId="11646ADE" w14:textId="77777777" w:rsidR="00013CB3" w:rsidRPr="00013CB3" w:rsidRDefault="00013CB3" w:rsidP="00013CB3">
      <w:pPr>
        <w:ind w:left="180"/>
        <w:rPr>
          <w:rFonts w:eastAsia="Times New Roman"/>
          <w:sz w:val="24"/>
          <w:szCs w:val="24"/>
        </w:rPr>
      </w:pPr>
      <w:r w:rsidRPr="00013CB3">
        <w:rPr>
          <w:rFonts w:eastAsia="Times New Roman"/>
          <w:sz w:val="24"/>
          <w:szCs w:val="24"/>
        </w:rPr>
        <w:t xml:space="preserve">Learning Contracts will be directed to the Executive Chair of the APG Board, who will make notation of receipt with the Assistant Dean and Director of the program, and the Assistant Dean for Student Success. The Learning Contract will be filed in the student’s file. </w:t>
      </w:r>
    </w:p>
    <w:p w14:paraId="54648D28" w14:textId="77777777" w:rsidR="00013CB3" w:rsidRPr="00013CB3" w:rsidRDefault="00013CB3" w:rsidP="00013CB3">
      <w:pPr>
        <w:ind w:left="180"/>
        <w:rPr>
          <w:rFonts w:eastAsia="Times New Roman"/>
          <w:sz w:val="24"/>
          <w:szCs w:val="24"/>
        </w:rPr>
      </w:pPr>
    </w:p>
    <w:p w14:paraId="30880E73" w14:textId="77777777" w:rsidR="00013CB3" w:rsidRPr="00013CB3" w:rsidRDefault="00013CB3" w:rsidP="00013CB3">
      <w:pPr>
        <w:ind w:left="180"/>
        <w:rPr>
          <w:rFonts w:eastAsia="Times New Roman"/>
          <w:sz w:val="24"/>
          <w:szCs w:val="24"/>
        </w:rPr>
      </w:pPr>
      <w:r w:rsidRPr="00013CB3">
        <w:rPr>
          <w:rFonts w:eastAsia="Times New Roman"/>
          <w:sz w:val="24"/>
          <w:szCs w:val="24"/>
        </w:rPr>
        <w:lastRenderedPageBreak/>
        <w:t xml:space="preserve">Learning Contracts will be re-evaluated by the initiating faculty member at the end of the semester to determine if the contract has been completely resolved, or should be continued in the next semester. If the contract is to be continued, it will be forwarded to upcoming faculty for review to assist the student’s future success. </w:t>
      </w:r>
    </w:p>
    <w:p w14:paraId="6E9F203A" w14:textId="77777777" w:rsidR="00013CB3" w:rsidRPr="00013CB3" w:rsidRDefault="00013CB3" w:rsidP="00013CB3">
      <w:pPr>
        <w:ind w:left="180"/>
        <w:rPr>
          <w:rFonts w:eastAsia="Times New Roman"/>
          <w:b/>
          <w:bCs/>
          <w:sz w:val="24"/>
          <w:szCs w:val="24"/>
        </w:rPr>
      </w:pPr>
    </w:p>
    <w:p w14:paraId="69A431BA" w14:textId="77777777" w:rsidR="00013CB3" w:rsidRPr="00013CB3" w:rsidRDefault="00013CB3" w:rsidP="00013CB3">
      <w:pPr>
        <w:ind w:left="180"/>
        <w:rPr>
          <w:rFonts w:eastAsia="Times New Roman"/>
          <w:sz w:val="24"/>
          <w:szCs w:val="24"/>
        </w:rPr>
      </w:pPr>
      <w:r w:rsidRPr="00013CB3">
        <w:rPr>
          <w:rFonts w:eastAsia="Times New Roman"/>
          <w:b/>
          <w:bCs/>
          <w:sz w:val="24"/>
          <w:szCs w:val="24"/>
        </w:rPr>
        <w:t>APG Board Learning Contract for Student Success</w:t>
      </w:r>
      <w:r w:rsidRPr="00013CB3">
        <w:rPr>
          <w:rFonts w:eastAsia="Times New Roman"/>
          <w:sz w:val="24"/>
          <w:szCs w:val="24"/>
        </w:rPr>
        <w:t xml:space="preserve">: </w:t>
      </w:r>
    </w:p>
    <w:p w14:paraId="5B1492B2" w14:textId="77777777" w:rsidR="00013CB3" w:rsidRPr="00013CB3" w:rsidRDefault="00013CB3" w:rsidP="00013CB3">
      <w:pPr>
        <w:ind w:left="180"/>
        <w:rPr>
          <w:rFonts w:eastAsia="Times New Roman"/>
          <w:sz w:val="24"/>
          <w:szCs w:val="24"/>
        </w:rPr>
      </w:pPr>
      <w:r w:rsidRPr="00013CB3">
        <w:rPr>
          <w:rFonts w:eastAsia="Times New Roman"/>
          <w:sz w:val="24"/>
          <w:szCs w:val="24"/>
        </w:rPr>
        <w:t xml:space="preserve">The APG Board reserves the right to initiate an APG-driven Learning Contract at any time, however, it is usually initiated in the case of more than one previous Problem Area Assessment Forms and/or Learning Contracts. The APG Contract follows a similar procedure as outlined above, facilitated by the Executive Chair of the APG Board and/or and APG Board member. If a student is unable to meet the terms of their APG Learning Contract, it may become grounds for failure of the course or dismissal from the program. </w:t>
      </w:r>
    </w:p>
    <w:p w14:paraId="3F4CA69B" w14:textId="77777777" w:rsidR="00013CB3" w:rsidRPr="00013CB3" w:rsidRDefault="00013CB3" w:rsidP="00013CB3">
      <w:pPr>
        <w:ind w:left="180"/>
        <w:rPr>
          <w:rFonts w:eastAsia="Times New Roman"/>
          <w:sz w:val="24"/>
          <w:szCs w:val="24"/>
        </w:rPr>
      </w:pPr>
    </w:p>
    <w:p w14:paraId="7AA07061" w14:textId="77777777" w:rsidR="00013CB3" w:rsidRPr="00013CB3" w:rsidRDefault="00013CB3" w:rsidP="00013CB3">
      <w:pPr>
        <w:ind w:left="180"/>
        <w:rPr>
          <w:rFonts w:eastAsia="Times New Roman"/>
          <w:sz w:val="24"/>
          <w:szCs w:val="24"/>
        </w:rPr>
      </w:pPr>
      <w:r w:rsidRPr="00013CB3">
        <w:rPr>
          <w:rFonts w:eastAsia="Times New Roman"/>
          <w:sz w:val="24"/>
          <w:szCs w:val="24"/>
        </w:rPr>
        <w:t xml:space="preserve">Due to the serious nature of issues involved, APG Board-initiated Learning Contracts remain active until the student successfully graduates, is dismissed from the program, or voluntarily exits the program. </w:t>
      </w:r>
    </w:p>
    <w:p w14:paraId="780444E7" w14:textId="77777777" w:rsidR="00013CB3" w:rsidRPr="00013CB3" w:rsidRDefault="00013CB3" w:rsidP="00013CB3">
      <w:pPr>
        <w:ind w:left="180"/>
        <w:rPr>
          <w:rFonts w:eastAsia="Times New Roman"/>
          <w:sz w:val="24"/>
          <w:szCs w:val="24"/>
        </w:rPr>
      </w:pPr>
    </w:p>
    <w:p w14:paraId="56D441EF" w14:textId="77777777" w:rsidR="00013CB3" w:rsidRPr="00013CB3" w:rsidRDefault="00013CB3" w:rsidP="00013CB3">
      <w:pPr>
        <w:ind w:left="180"/>
        <w:rPr>
          <w:rFonts w:eastAsia="Times New Roman"/>
          <w:sz w:val="24"/>
          <w:szCs w:val="24"/>
        </w:rPr>
      </w:pPr>
      <w:r w:rsidRPr="00013CB3">
        <w:rPr>
          <w:rFonts w:eastAsia="Times New Roman"/>
          <w:sz w:val="24"/>
          <w:szCs w:val="24"/>
        </w:rPr>
        <w:t>Note: The decision to initiate a Problem Assessment or Learning Contract is a faculty decision, based on the individual situation in consultation with the Assistant Dean and/or the Executive Chairperson of the APG Board. It is also influenced by the APG Decision Tree.</w:t>
      </w:r>
    </w:p>
    <w:p w14:paraId="7E4C5AF3" w14:textId="77777777" w:rsidR="00062E83" w:rsidRPr="00013CB3" w:rsidRDefault="00062E83" w:rsidP="00013CB3">
      <w:pPr>
        <w:pStyle w:val="NormalWeb"/>
        <w:ind w:left="180"/>
        <w:rPr>
          <w:rFonts w:ascii="Arial" w:hAnsi="Arial" w:cs="Arial"/>
          <w:color w:val="000000"/>
        </w:rPr>
      </w:pPr>
    </w:p>
    <w:p w14:paraId="2A258A6D" w14:textId="502B34E1" w:rsidR="00CA2B94" w:rsidRPr="00013CB3" w:rsidRDefault="00AD173D" w:rsidP="00013CB3">
      <w:pPr>
        <w:ind w:left="180"/>
        <w:rPr>
          <w:rFonts w:eastAsia="Times New Roman"/>
          <w:sz w:val="24"/>
          <w:szCs w:val="24"/>
        </w:rPr>
      </w:pPr>
      <w:r w:rsidRPr="00013CB3">
        <w:rPr>
          <w:rFonts w:eastAsia="Times New Roman"/>
          <w:b/>
          <w:sz w:val="24"/>
          <w:szCs w:val="24"/>
        </w:rPr>
        <w:t>H</w:t>
      </w:r>
      <w:r w:rsidR="00487F37" w:rsidRPr="00013CB3">
        <w:rPr>
          <w:rFonts w:eastAsia="Times New Roman"/>
          <w:b/>
          <w:sz w:val="24"/>
          <w:szCs w:val="24"/>
        </w:rPr>
        <w:t>istory</w:t>
      </w:r>
      <w:r w:rsidR="009F2A0C" w:rsidRPr="00013CB3">
        <w:rPr>
          <w:rFonts w:eastAsia="Times New Roman"/>
          <w:b/>
          <w:sz w:val="24"/>
          <w:szCs w:val="24"/>
        </w:rPr>
        <w:t>:</w:t>
      </w:r>
    </w:p>
    <w:sectPr w:rsidR="00CA2B94" w:rsidRPr="00013CB3" w:rsidSect="008B4995">
      <w:footerReference w:type="default" r:id="rId8"/>
      <w:type w:val="continuous"/>
      <w:pgSz w:w="12240" w:h="15840"/>
      <w:pgMar w:top="460" w:right="420" w:bottom="540" w:left="420" w:header="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E319C" w14:textId="77777777" w:rsidR="00E57016" w:rsidRDefault="00E57016">
      <w:r>
        <w:separator/>
      </w:r>
    </w:p>
  </w:endnote>
  <w:endnote w:type="continuationSeparator" w:id="0">
    <w:p w14:paraId="6A8EC012" w14:textId="77777777" w:rsidR="00E57016" w:rsidRDefault="00E5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F1774" w14:textId="77777777" w:rsidR="00CA2B94" w:rsidRDefault="00CA2B9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AA84A" w14:textId="77777777" w:rsidR="00E57016" w:rsidRDefault="00E57016">
      <w:r>
        <w:separator/>
      </w:r>
    </w:p>
  </w:footnote>
  <w:footnote w:type="continuationSeparator" w:id="0">
    <w:p w14:paraId="1D8916FC" w14:textId="77777777" w:rsidR="00E57016" w:rsidRDefault="00E57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C4DCB0F8"/>
    <w:lvl w:ilvl="0">
      <w:start w:val="1"/>
      <w:numFmt w:val="decimal"/>
      <w:lvlText w:val="%1."/>
      <w:lvlJc w:val="left"/>
      <w:pPr>
        <w:ind w:left="543" w:hanging="363"/>
      </w:pPr>
      <w:rPr>
        <w:b w:val="0"/>
        <w:bCs w:val="0"/>
        <w:w w:val="100"/>
        <w:sz w:val="22"/>
        <w:szCs w:val="22"/>
      </w:rPr>
    </w:lvl>
    <w:lvl w:ilvl="1">
      <w:numFmt w:val="bullet"/>
      <w:lvlText w:val="•"/>
      <w:lvlJc w:val="left"/>
      <w:pPr>
        <w:ind w:left="1472" w:hanging="363"/>
      </w:pPr>
    </w:lvl>
    <w:lvl w:ilvl="2">
      <w:numFmt w:val="bullet"/>
      <w:lvlText w:val="•"/>
      <w:lvlJc w:val="left"/>
      <w:pPr>
        <w:ind w:left="2392" w:hanging="363"/>
      </w:pPr>
    </w:lvl>
    <w:lvl w:ilvl="3">
      <w:numFmt w:val="bullet"/>
      <w:lvlText w:val="•"/>
      <w:lvlJc w:val="left"/>
      <w:pPr>
        <w:ind w:left="3312" w:hanging="363"/>
      </w:pPr>
    </w:lvl>
    <w:lvl w:ilvl="4">
      <w:numFmt w:val="bullet"/>
      <w:lvlText w:val="•"/>
      <w:lvlJc w:val="left"/>
      <w:pPr>
        <w:ind w:left="4232" w:hanging="363"/>
      </w:pPr>
    </w:lvl>
    <w:lvl w:ilvl="5">
      <w:numFmt w:val="bullet"/>
      <w:lvlText w:val="•"/>
      <w:lvlJc w:val="left"/>
      <w:pPr>
        <w:ind w:left="5152" w:hanging="363"/>
      </w:pPr>
    </w:lvl>
    <w:lvl w:ilvl="6">
      <w:numFmt w:val="bullet"/>
      <w:lvlText w:val="•"/>
      <w:lvlJc w:val="left"/>
      <w:pPr>
        <w:ind w:left="6072" w:hanging="363"/>
      </w:pPr>
    </w:lvl>
    <w:lvl w:ilvl="7">
      <w:numFmt w:val="bullet"/>
      <w:lvlText w:val="•"/>
      <w:lvlJc w:val="left"/>
      <w:pPr>
        <w:ind w:left="6992" w:hanging="363"/>
      </w:pPr>
    </w:lvl>
    <w:lvl w:ilvl="8">
      <w:numFmt w:val="bullet"/>
      <w:lvlText w:val="•"/>
      <w:lvlJc w:val="left"/>
      <w:pPr>
        <w:ind w:left="7912" w:hanging="363"/>
      </w:pPr>
    </w:lvl>
  </w:abstractNum>
  <w:abstractNum w:abstractNumId="1" w15:restartNumberingAfterBreak="0">
    <w:nsid w:val="00000403"/>
    <w:multiLevelType w:val="multilevel"/>
    <w:tmpl w:val="00000886"/>
    <w:lvl w:ilvl="0">
      <w:numFmt w:val="bullet"/>
      <w:lvlText w:val=""/>
      <w:lvlJc w:val="left"/>
      <w:pPr>
        <w:ind w:left="834" w:hanging="361"/>
      </w:pPr>
      <w:rPr>
        <w:rFonts w:ascii="Symbol" w:hAnsi="Symbol" w:cs="Symbol"/>
        <w:b w:val="0"/>
        <w:bCs w:val="0"/>
        <w:w w:val="100"/>
        <w:sz w:val="22"/>
        <w:szCs w:val="22"/>
      </w:rPr>
    </w:lvl>
    <w:lvl w:ilvl="1">
      <w:numFmt w:val="bullet"/>
      <w:lvlText w:val="•"/>
      <w:lvlJc w:val="left"/>
      <w:pPr>
        <w:ind w:left="1760" w:hanging="361"/>
      </w:pPr>
    </w:lvl>
    <w:lvl w:ilvl="2">
      <w:numFmt w:val="bullet"/>
      <w:lvlText w:val="•"/>
      <w:lvlJc w:val="left"/>
      <w:pPr>
        <w:ind w:left="2680" w:hanging="361"/>
      </w:pPr>
    </w:lvl>
    <w:lvl w:ilvl="3">
      <w:numFmt w:val="bullet"/>
      <w:lvlText w:val="•"/>
      <w:lvlJc w:val="left"/>
      <w:pPr>
        <w:ind w:left="3600" w:hanging="361"/>
      </w:pPr>
    </w:lvl>
    <w:lvl w:ilvl="4">
      <w:numFmt w:val="bullet"/>
      <w:lvlText w:val="•"/>
      <w:lvlJc w:val="left"/>
      <w:pPr>
        <w:ind w:left="4520" w:hanging="361"/>
      </w:pPr>
    </w:lvl>
    <w:lvl w:ilvl="5">
      <w:numFmt w:val="bullet"/>
      <w:lvlText w:val="•"/>
      <w:lvlJc w:val="left"/>
      <w:pPr>
        <w:ind w:left="5440" w:hanging="361"/>
      </w:pPr>
    </w:lvl>
    <w:lvl w:ilvl="6">
      <w:numFmt w:val="bullet"/>
      <w:lvlText w:val="•"/>
      <w:lvlJc w:val="left"/>
      <w:pPr>
        <w:ind w:left="6360" w:hanging="361"/>
      </w:pPr>
    </w:lvl>
    <w:lvl w:ilvl="7">
      <w:numFmt w:val="bullet"/>
      <w:lvlText w:val="•"/>
      <w:lvlJc w:val="left"/>
      <w:pPr>
        <w:ind w:left="7280" w:hanging="361"/>
      </w:pPr>
    </w:lvl>
    <w:lvl w:ilvl="8">
      <w:numFmt w:val="bullet"/>
      <w:lvlText w:val="•"/>
      <w:lvlJc w:val="left"/>
      <w:pPr>
        <w:ind w:left="8200" w:hanging="361"/>
      </w:pPr>
    </w:lvl>
  </w:abstractNum>
  <w:abstractNum w:abstractNumId="2" w15:restartNumberingAfterBreak="0">
    <w:nsid w:val="00000404"/>
    <w:multiLevelType w:val="multilevel"/>
    <w:tmpl w:val="00000887"/>
    <w:lvl w:ilvl="0">
      <w:numFmt w:val="bullet"/>
      <w:lvlText w:val=""/>
      <w:lvlJc w:val="left"/>
      <w:pPr>
        <w:ind w:left="834" w:hanging="361"/>
      </w:pPr>
      <w:rPr>
        <w:rFonts w:ascii="Symbol" w:hAnsi="Symbol" w:cs="Symbol"/>
        <w:b w:val="0"/>
        <w:bCs w:val="0"/>
        <w:w w:val="100"/>
        <w:sz w:val="22"/>
        <w:szCs w:val="22"/>
      </w:rPr>
    </w:lvl>
    <w:lvl w:ilvl="1">
      <w:numFmt w:val="bullet"/>
      <w:lvlText w:val="•"/>
      <w:lvlJc w:val="left"/>
      <w:pPr>
        <w:ind w:left="1760" w:hanging="361"/>
      </w:pPr>
    </w:lvl>
    <w:lvl w:ilvl="2">
      <w:numFmt w:val="bullet"/>
      <w:lvlText w:val="•"/>
      <w:lvlJc w:val="left"/>
      <w:pPr>
        <w:ind w:left="2680" w:hanging="361"/>
      </w:pPr>
    </w:lvl>
    <w:lvl w:ilvl="3">
      <w:numFmt w:val="bullet"/>
      <w:lvlText w:val="•"/>
      <w:lvlJc w:val="left"/>
      <w:pPr>
        <w:ind w:left="3600" w:hanging="361"/>
      </w:pPr>
    </w:lvl>
    <w:lvl w:ilvl="4">
      <w:numFmt w:val="bullet"/>
      <w:lvlText w:val="•"/>
      <w:lvlJc w:val="left"/>
      <w:pPr>
        <w:ind w:left="4520" w:hanging="361"/>
      </w:pPr>
    </w:lvl>
    <w:lvl w:ilvl="5">
      <w:numFmt w:val="bullet"/>
      <w:lvlText w:val="•"/>
      <w:lvlJc w:val="left"/>
      <w:pPr>
        <w:ind w:left="5440" w:hanging="361"/>
      </w:pPr>
    </w:lvl>
    <w:lvl w:ilvl="6">
      <w:numFmt w:val="bullet"/>
      <w:lvlText w:val="•"/>
      <w:lvlJc w:val="left"/>
      <w:pPr>
        <w:ind w:left="6360" w:hanging="361"/>
      </w:pPr>
    </w:lvl>
    <w:lvl w:ilvl="7">
      <w:numFmt w:val="bullet"/>
      <w:lvlText w:val="•"/>
      <w:lvlJc w:val="left"/>
      <w:pPr>
        <w:ind w:left="7280" w:hanging="361"/>
      </w:pPr>
    </w:lvl>
    <w:lvl w:ilvl="8">
      <w:numFmt w:val="bullet"/>
      <w:lvlText w:val="•"/>
      <w:lvlJc w:val="left"/>
      <w:pPr>
        <w:ind w:left="8200" w:hanging="361"/>
      </w:pPr>
    </w:lvl>
  </w:abstractNum>
  <w:abstractNum w:abstractNumId="3" w15:restartNumberingAfterBreak="0">
    <w:nsid w:val="0F1665A1"/>
    <w:multiLevelType w:val="hybridMultilevel"/>
    <w:tmpl w:val="34E0F7DA"/>
    <w:lvl w:ilvl="0" w:tplc="2848B8DC">
      <w:start w:val="1"/>
      <w:numFmt w:val="decimal"/>
      <w:lvlText w:val="%1."/>
      <w:lvlJc w:val="left"/>
      <w:pPr>
        <w:ind w:left="560" w:hanging="294"/>
        <w:jc w:val="right"/>
      </w:pPr>
      <w:rPr>
        <w:rFonts w:ascii="Arial" w:eastAsia="Arial" w:hAnsi="Arial" w:cs="Arial" w:hint="default"/>
        <w:spacing w:val="-16"/>
        <w:w w:val="100"/>
        <w:sz w:val="22"/>
        <w:szCs w:val="22"/>
      </w:rPr>
    </w:lvl>
    <w:lvl w:ilvl="1" w:tplc="66C2A4D0">
      <w:numFmt w:val="bullet"/>
      <w:lvlText w:val="•"/>
      <w:lvlJc w:val="left"/>
      <w:pPr>
        <w:ind w:left="1644" w:hanging="294"/>
      </w:pPr>
      <w:rPr>
        <w:rFonts w:hint="default"/>
      </w:rPr>
    </w:lvl>
    <w:lvl w:ilvl="2" w:tplc="5204F32C">
      <w:numFmt w:val="bullet"/>
      <w:lvlText w:val="•"/>
      <w:lvlJc w:val="left"/>
      <w:pPr>
        <w:ind w:left="2728" w:hanging="294"/>
      </w:pPr>
      <w:rPr>
        <w:rFonts w:hint="default"/>
      </w:rPr>
    </w:lvl>
    <w:lvl w:ilvl="3" w:tplc="605C07F8">
      <w:numFmt w:val="bullet"/>
      <w:lvlText w:val="•"/>
      <w:lvlJc w:val="left"/>
      <w:pPr>
        <w:ind w:left="3812" w:hanging="294"/>
      </w:pPr>
      <w:rPr>
        <w:rFonts w:hint="default"/>
      </w:rPr>
    </w:lvl>
    <w:lvl w:ilvl="4" w:tplc="2D7422B0">
      <w:numFmt w:val="bullet"/>
      <w:lvlText w:val="•"/>
      <w:lvlJc w:val="left"/>
      <w:pPr>
        <w:ind w:left="4896" w:hanging="294"/>
      </w:pPr>
      <w:rPr>
        <w:rFonts w:hint="default"/>
      </w:rPr>
    </w:lvl>
    <w:lvl w:ilvl="5" w:tplc="39A028FA">
      <w:numFmt w:val="bullet"/>
      <w:lvlText w:val="•"/>
      <w:lvlJc w:val="left"/>
      <w:pPr>
        <w:ind w:left="5980" w:hanging="294"/>
      </w:pPr>
      <w:rPr>
        <w:rFonts w:hint="default"/>
      </w:rPr>
    </w:lvl>
    <w:lvl w:ilvl="6" w:tplc="4D0067DA">
      <w:numFmt w:val="bullet"/>
      <w:lvlText w:val="•"/>
      <w:lvlJc w:val="left"/>
      <w:pPr>
        <w:ind w:left="7064" w:hanging="294"/>
      </w:pPr>
      <w:rPr>
        <w:rFonts w:hint="default"/>
      </w:rPr>
    </w:lvl>
    <w:lvl w:ilvl="7" w:tplc="94B08866">
      <w:numFmt w:val="bullet"/>
      <w:lvlText w:val="•"/>
      <w:lvlJc w:val="left"/>
      <w:pPr>
        <w:ind w:left="8148" w:hanging="294"/>
      </w:pPr>
      <w:rPr>
        <w:rFonts w:hint="default"/>
      </w:rPr>
    </w:lvl>
    <w:lvl w:ilvl="8" w:tplc="506E1D3C">
      <w:numFmt w:val="bullet"/>
      <w:lvlText w:val="•"/>
      <w:lvlJc w:val="left"/>
      <w:pPr>
        <w:ind w:left="9232" w:hanging="294"/>
      </w:pPr>
      <w:rPr>
        <w:rFonts w:hint="default"/>
      </w:rPr>
    </w:lvl>
  </w:abstractNum>
  <w:abstractNum w:abstractNumId="4" w15:restartNumberingAfterBreak="0">
    <w:nsid w:val="10357A1B"/>
    <w:multiLevelType w:val="hybridMultilevel"/>
    <w:tmpl w:val="73EEF94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0CE023B"/>
    <w:multiLevelType w:val="hybridMultilevel"/>
    <w:tmpl w:val="6B62EFC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4A5679E"/>
    <w:multiLevelType w:val="multilevel"/>
    <w:tmpl w:val="DC2E6646"/>
    <w:lvl w:ilvl="0">
      <w:start w:val="1"/>
      <w:numFmt w:val="bullet"/>
      <w:lvlText w:val=""/>
      <w:lvlJc w:val="left"/>
      <w:pPr>
        <w:ind w:left="543" w:hanging="363"/>
      </w:pPr>
      <w:rPr>
        <w:rFonts w:ascii="Symbol" w:hAnsi="Symbol" w:hint="default"/>
        <w:b w:val="0"/>
        <w:bCs w:val="0"/>
        <w:w w:val="100"/>
        <w:sz w:val="22"/>
        <w:szCs w:val="22"/>
      </w:rPr>
    </w:lvl>
    <w:lvl w:ilvl="1">
      <w:numFmt w:val="bullet"/>
      <w:lvlText w:val="•"/>
      <w:lvlJc w:val="left"/>
      <w:pPr>
        <w:ind w:left="1472" w:hanging="363"/>
      </w:pPr>
    </w:lvl>
    <w:lvl w:ilvl="2">
      <w:numFmt w:val="bullet"/>
      <w:lvlText w:val="•"/>
      <w:lvlJc w:val="left"/>
      <w:pPr>
        <w:ind w:left="2392" w:hanging="363"/>
      </w:pPr>
    </w:lvl>
    <w:lvl w:ilvl="3">
      <w:numFmt w:val="bullet"/>
      <w:lvlText w:val="•"/>
      <w:lvlJc w:val="left"/>
      <w:pPr>
        <w:ind w:left="3312" w:hanging="363"/>
      </w:pPr>
    </w:lvl>
    <w:lvl w:ilvl="4">
      <w:numFmt w:val="bullet"/>
      <w:lvlText w:val="•"/>
      <w:lvlJc w:val="left"/>
      <w:pPr>
        <w:ind w:left="4232" w:hanging="363"/>
      </w:pPr>
    </w:lvl>
    <w:lvl w:ilvl="5">
      <w:numFmt w:val="bullet"/>
      <w:lvlText w:val="•"/>
      <w:lvlJc w:val="left"/>
      <w:pPr>
        <w:ind w:left="5152" w:hanging="363"/>
      </w:pPr>
    </w:lvl>
    <w:lvl w:ilvl="6">
      <w:numFmt w:val="bullet"/>
      <w:lvlText w:val="•"/>
      <w:lvlJc w:val="left"/>
      <w:pPr>
        <w:ind w:left="6072" w:hanging="363"/>
      </w:pPr>
    </w:lvl>
    <w:lvl w:ilvl="7">
      <w:numFmt w:val="bullet"/>
      <w:lvlText w:val="•"/>
      <w:lvlJc w:val="left"/>
      <w:pPr>
        <w:ind w:left="6992" w:hanging="363"/>
      </w:pPr>
    </w:lvl>
    <w:lvl w:ilvl="8">
      <w:numFmt w:val="bullet"/>
      <w:lvlText w:val="•"/>
      <w:lvlJc w:val="left"/>
      <w:pPr>
        <w:ind w:left="7912" w:hanging="363"/>
      </w:pPr>
    </w:lvl>
  </w:abstractNum>
  <w:num w:numId="1">
    <w:abstractNumId w:val="3"/>
  </w:num>
  <w:num w:numId="2">
    <w:abstractNumId w:val="0"/>
  </w:num>
  <w:num w:numId="3">
    <w:abstractNumId w:val="4"/>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94"/>
    <w:rsid w:val="00013CB3"/>
    <w:rsid w:val="00053BE2"/>
    <w:rsid w:val="00062E83"/>
    <w:rsid w:val="000E537E"/>
    <w:rsid w:val="00124B87"/>
    <w:rsid w:val="00161845"/>
    <w:rsid w:val="002179E1"/>
    <w:rsid w:val="002D6C1A"/>
    <w:rsid w:val="0036730B"/>
    <w:rsid w:val="00432D7E"/>
    <w:rsid w:val="0045508A"/>
    <w:rsid w:val="004644B1"/>
    <w:rsid w:val="00487F37"/>
    <w:rsid w:val="005750AB"/>
    <w:rsid w:val="005C3CC9"/>
    <w:rsid w:val="005C52E1"/>
    <w:rsid w:val="005C615A"/>
    <w:rsid w:val="00634CDA"/>
    <w:rsid w:val="006853AA"/>
    <w:rsid w:val="006D280C"/>
    <w:rsid w:val="006F47B1"/>
    <w:rsid w:val="006F536E"/>
    <w:rsid w:val="00780281"/>
    <w:rsid w:val="0080748F"/>
    <w:rsid w:val="00892986"/>
    <w:rsid w:val="008B4995"/>
    <w:rsid w:val="008E3D02"/>
    <w:rsid w:val="009F1993"/>
    <w:rsid w:val="009F2A0C"/>
    <w:rsid w:val="00A335C4"/>
    <w:rsid w:val="00A71C25"/>
    <w:rsid w:val="00AC7454"/>
    <w:rsid w:val="00AD173D"/>
    <w:rsid w:val="00B02370"/>
    <w:rsid w:val="00B31F2A"/>
    <w:rsid w:val="00B32B04"/>
    <w:rsid w:val="00B91178"/>
    <w:rsid w:val="00BD4AE6"/>
    <w:rsid w:val="00BD62A5"/>
    <w:rsid w:val="00C112C5"/>
    <w:rsid w:val="00C61B1E"/>
    <w:rsid w:val="00CA2B94"/>
    <w:rsid w:val="00D5730F"/>
    <w:rsid w:val="00D76640"/>
    <w:rsid w:val="00E261D9"/>
    <w:rsid w:val="00E57016"/>
    <w:rsid w:val="00EA682B"/>
    <w:rsid w:val="00ED0C65"/>
    <w:rsid w:val="00F40CD0"/>
    <w:rsid w:val="00F64EAB"/>
    <w:rsid w:val="00FE6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8F019"/>
  <w15:docId w15:val="{66AE42F6-1F39-4E93-9810-B37F4A7F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3"/>
      <w:ind w:left="120"/>
      <w:outlineLvl w:val="0"/>
    </w:pPr>
    <w:rPr>
      <w:sz w:val="28"/>
      <w:szCs w:val="28"/>
    </w:rPr>
  </w:style>
  <w:style w:type="paragraph" w:styleId="Heading2">
    <w:name w:val="heading 2"/>
    <w:basedOn w:val="Normal"/>
    <w:uiPriority w:val="1"/>
    <w:qFormat/>
    <w:pPr>
      <w:ind w:left="120"/>
      <w:outlineLvl w:val="1"/>
    </w:pPr>
    <w:rPr>
      <w:b/>
      <w:bCs/>
      <w:sz w:val="26"/>
      <w:szCs w:val="26"/>
    </w:rPr>
  </w:style>
  <w:style w:type="paragraph" w:styleId="Heading4">
    <w:name w:val="heading 4"/>
    <w:basedOn w:val="Normal"/>
    <w:next w:val="Normal"/>
    <w:link w:val="Heading4Char"/>
    <w:uiPriority w:val="9"/>
    <w:semiHidden/>
    <w:unhideWhenUsed/>
    <w:qFormat/>
    <w:rsid w:val="00B31F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60" w:right="117" w:hanging="294"/>
      <w:jc w:val="both"/>
    </w:pPr>
  </w:style>
  <w:style w:type="paragraph" w:customStyle="1" w:styleId="TableParagraph">
    <w:name w:val="Table Paragraph"/>
    <w:basedOn w:val="Normal"/>
    <w:uiPriority w:val="1"/>
    <w:qFormat/>
  </w:style>
  <w:style w:type="character" w:styleId="Hyperlink">
    <w:name w:val="Hyperlink"/>
    <w:basedOn w:val="DefaultParagraphFont"/>
    <w:rsid w:val="002D6C1A"/>
    <w:rPr>
      <w:color w:val="0000FF"/>
      <w:u w:val="single"/>
    </w:rPr>
  </w:style>
  <w:style w:type="character" w:styleId="Strong">
    <w:name w:val="Strong"/>
    <w:basedOn w:val="DefaultParagraphFont"/>
    <w:uiPriority w:val="22"/>
    <w:qFormat/>
    <w:rsid w:val="002D6C1A"/>
    <w:rPr>
      <w:b/>
      <w:bCs/>
    </w:rPr>
  </w:style>
  <w:style w:type="paragraph" w:styleId="BalloonText">
    <w:name w:val="Balloon Text"/>
    <w:basedOn w:val="Normal"/>
    <w:link w:val="BalloonTextChar"/>
    <w:uiPriority w:val="99"/>
    <w:semiHidden/>
    <w:unhideWhenUsed/>
    <w:rsid w:val="004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F37"/>
    <w:rPr>
      <w:rFonts w:ascii="Segoe UI" w:eastAsia="Arial" w:hAnsi="Segoe UI" w:cs="Segoe UI"/>
      <w:sz w:val="18"/>
      <w:szCs w:val="18"/>
    </w:rPr>
  </w:style>
  <w:style w:type="character" w:customStyle="1" w:styleId="Heading4Char">
    <w:name w:val="Heading 4 Char"/>
    <w:basedOn w:val="DefaultParagraphFont"/>
    <w:link w:val="Heading4"/>
    <w:uiPriority w:val="9"/>
    <w:semiHidden/>
    <w:rsid w:val="00B31F2A"/>
    <w:rPr>
      <w:rFonts w:asciiTheme="majorHAnsi" w:eastAsiaTheme="majorEastAsia" w:hAnsiTheme="majorHAnsi" w:cstheme="majorBidi"/>
      <w:i/>
      <w:iCs/>
      <w:color w:val="365F91" w:themeColor="accent1" w:themeShade="BF"/>
    </w:rPr>
  </w:style>
  <w:style w:type="paragraph" w:styleId="Caption">
    <w:name w:val="caption"/>
    <w:basedOn w:val="Normal"/>
    <w:next w:val="Normal"/>
    <w:uiPriority w:val="35"/>
    <w:unhideWhenUsed/>
    <w:qFormat/>
    <w:rsid w:val="00B02370"/>
    <w:pPr>
      <w:spacing w:after="200"/>
    </w:pPr>
    <w:rPr>
      <w:i/>
      <w:iCs/>
      <w:color w:val="1F497D" w:themeColor="text2"/>
      <w:sz w:val="18"/>
      <w:szCs w:val="18"/>
    </w:rPr>
  </w:style>
  <w:style w:type="paragraph" w:styleId="NormalWeb">
    <w:name w:val="Normal (Web)"/>
    <w:basedOn w:val="Normal"/>
    <w:uiPriority w:val="99"/>
    <w:semiHidden/>
    <w:unhideWhenUsed/>
    <w:rsid w:val="00062E83"/>
    <w:pPr>
      <w:widowControl/>
      <w:autoSpaceDE/>
      <w:autoSpaceDN/>
    </w:pPr>
    <w:rPr>
      <w:rFonts w:ascii="Times New Roman" w:eastAsiaTheme="minorHAnsi" w:hAnsi="Times New Roman" w:cs="Times New Roman"/>
      <w:sz w:val="24"/>
      <w:szCs w:val="24"/>
    </w:rPr>
  </w:style>
  <w:style w:type="character" w:styleId="Emphasis">
    <w:name w:val="Emphasis"/>
    <w:basedOn w:val="DefaultParagraphFont"/>
    <w:uiPriority w:val="20"/>
    <w:qFormat/>
    <w:rsid w:val="00062E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5379">
      <w:bodyDiv w:val="1"/>
      <w:marLeft w:val="0"/>
      <w:marRight w:val="0"/>
      <w:marTop w:val="0"/>
      <w:marBottom w:val="0"/>
      <w:divBdr>
        <w:top w:val="none" w:sz="0" w:space="0" w:color="auto"/>
        <w:left w:val="none" w:sz="0" w:space="0" w:color="auto"/>
        <w:bottom w:val="none" w:sz="0" w:space="0" w:color="auto"/>
        <w:right w:val="none" w:sz="0" w:space="0" w:color="auto"/>
      </w:divBdr>
    </w:div>
    <w:div w:id="143539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Kincaid, Jennifer U</dc:creator>
  <cp:lastModifiedBy>Moran, Kathleen Mary</cp:lastModifiedBy>
  <cp:revision>2</cp:revision>
  <dcterms:created xsi:type="dcterms:W3CDTF">2021-06-30T18:48:00Z</dcterms:created>
  <dcterms:modified xsi:type="dcterms:W3CDTF">2021-06-30T18:48:00Z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Apache FOP Version 1.0</vt:lpwstr>
  </property>
  <property fmtid="{D5CDD505-2E9C-101B-9397-08002B2CF9AE}" pid="4" name="LastSaved">
    <vt:filetime>2017-07-06T00:00:00Z</vt:filetime>
  </property>
</Properties>
</file>